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עודד שחם</w:t>
                </w:r>
              </w:sdtContent>
            </w:sdt>
          </w:p>
          <w:p w:rsidR="0094424E" w:rsidRPr="005E1612" w:rsidRDefault="005E1612" w:rsidP="00D44968">
            <w:pPr>
              <w:suppressLineNumbers/>
              <w:rPr>
                <w:rFonts w:ascii="David" w:hAnsi="David"/>
                <w:b/>
                <w:bCs/>
                <w:sz w:val="26"/>
                <w:szCs w:val="26"/>
                <w:rtl/>
              </w:rPr>
            </w:pPr>
            <w:r w:rsidRPr="005E1612">
              <w:rPr>
                <w:rFonts w:ascii="David" w:hAnsi="David"/>
                <w:b/>
                <w:bCs/>
                <w:sz w:val="26"/>
                <w:szCs w:val="26"/>
                <w:rtl/>
              </w:rPr>
              <w:t>כבוד השופט אברהם רובין</w:t>
            </w:r>
          </w:p>
          <w:p w:rsidR="005E1612" w:rsidRDefault="005E1612" w:rsidP="00D44968">
            <w:pPr>
              <w:suppressLineNumbers/>
              <w:rPr>
                <w:rFonts w:ascii="Arial" w:hAnsi="Arial" w:cs="FrankRuehl"/>
                <w:sz w:val="26"/>
                <w:szCs w:val="26"/>
                <w:highlight w:val="yellow"/>
                <w:rtl/>
              </w:rPr>
            </w:pPr>
            <w:r w:rsidRPr="005E1612">
              <w:rPr>
                <w:rFonts w:ascii="David" w:hAnsi="David"/>
                <w:b/>
                <w:bCs/>
                <w:sz w:val="26"/>
                <w:szCs w:val="26"/>
                <w:rtl/>
              </w:rPr>
              <w:t>כבוד השופט נמרוד פלקס</w:t>
            </w:r>
          </w:p>
          <w:p w:rsidR="005E1612" w:rsidRPr="00DD05A8" w:rsidRDefault="005E1612"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C766E" w:rsidRDefault="001C1AD6">
                <w:pPr>
                  <w:suppressLineNumbers/>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5E1612">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פלוני</w:t>
                </w:r>
              </w:sdtContent>
            </w:sdt>
          </w:p>
          <w:p w:rsidR="005E1612" w:rsidRDefault="005E1612" w:rsidP="005E1612">
            <w:pPr>
              <w:suppressLineNumbers/>
              <w:rPr>
                <w:b/>
                <w:bCs/>
                <w:rtl/>
              </w:rPr>
            </w:pPr>
          </w:p>
          <w:p w:rsidR="005E1612" w:rsidRDefault="005E1612" w:rsidP="005E1612">
            <w:pPr>
              <w:suppressLineNumbers/>
              <w:rPr>
                <w:b/>
                <w:bCs/>
                <w:noProof w:val="0"/>
                <w:sz w:val="26"/>
                <w:szCs w:val="26"/>
              </w:rPr>
            </w:pPr>
            <w:r>
              <w:rPr>
                <w:rFonts w:hint="cs"/>
                <w:b/>
                <w:bCs/>
                <w:rtl/>
              </w:rPr>
              <w:t>על ידי א' אגבאריה, עו"ד</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745BC3"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משיבים</w:t>
                </w:r>
              </w:sdtContent>
            </w:sdt>
          </w:p>
        </w:tc>
        <w:tc>
          <w:tcPr>
            <w:tcW w:w="5571" w:type="dxa"/>
          </w:tcPr>
          <w:p w:rsidR="00CF6BB7"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מדינת ישראל</w:t>
                </w:r>
              </w:sdtContent>
            </w:sdt>
            <w:r w:rsidR="00B859C5">
              <w:rPr>
                <w:rFonts w:hint="cs"/>
                <w:rtl/>
              </w:rPr>
              <w:t xml:space="preserve"> </w:t>
            </w:r>
          </w:p>
          <w:p w:rsidR="005E1612" w:rsidRPr="009E461A" w:rsidRDefault="005E1612" w:rsidP="007C2453">
            <w:pPr>
              <w:suppressLineNumbers/>
              <w:rPr>
                <w:rtl/>
              </w:rPr>
            </w:pPr>
          </w:p>
        </w:tc>
      </w:tr>
      <w:tr w:rsidR="00694556" w:rsidRPr="00DE1E7D">
        <w:trPr>
          <w:jc w:val="center"/>
        </w:trPr>
        <w:tc>
          <w:tcPr>
            <w:tcW w:w="8820" w:type="dxa"/>
            <w:gridSpan w:val="3"/>
          </w:tcPr>
          <w:p w:rsidR="005E1612" w:rsidRDefault="005E1612">
            <w:pPr>
              <w:bidi w:val="0"/>
              <w:jc w:val="center"/>
              <w:rPr>
                <w:rFonts w:ascii="Arial" w:hAnsi="Arial"/>
                <w:b/>
                <w:bCs/>
                <w:noProof w:val="0"/>
                <w:sz w:val="28"/>
                <w:szCs w:val="28"/>
                <w:u w:val="single"/>
                <w:rtl/>
              </w:rPr>
            </w:pPr>
          </w:p>
          <w:p w:rsidR="00694556" w:rsidRDefault="003E38C7" w:rsidP="005E1612">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0" w:name="NGCSBookmark"/>
      <w:bookmarkEnd w:id="0"/>
    </w:p>
    <w:p w:rsidR="005E1612" w:rsidRPr="005E1612" w:rsidRDefault="005E1612" w:rsidP="005E1612">
      <w:pPr>
        <w:spacing w:after="160" w:line="360" w:lineRule="auto"/>
        <w:jc w:val="both"/>
        <w:rPr>
          <w:rFonts w:ascii="FrankRuehl" w:eastAsia="Calibri" w:hAnsi="FrankRuehl" w:cs="FrankRuehl"/>
          <w:noProof w:val="0"/>
          <w:sz w:val="28"/>
          <w:szCs w:val="28"/>
        </w:rPr>
      </w:pPr>
      <w:r w:rsidRPr="005E1612">
        <w:rPr>
          <w:rFonts w:ascii="FrankRuehl" w:eastAsia="Calibri" w:hAnsi="FrankRuehl" w:cs="FrankRuehl"/>
          <w:noProof w:val="0"/>
          <w:sz w:val="28"/>
          <w:szCs w:val="28"/>
          <w:rtl/>
        </w:rPr>
        <w:t>בפנינו ערעור אזרחי.</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 הערעור מופנה נגד פסק דינו של בית משפט השלום בירושלים (כב' השופטת ל' בנמלך) בת"א 18756-10-17. פסק הדין ניתן ביום 7.11.23. בפסק הדין נדחתה תביעת המערער לפיצויים בגין נזקי גוף, נוכח הקביעה כי חלה על העניין הוראת סעיף 5(א) לחוק הנזיקין האזרחיים (אחריות המדינה) תשי"ב - 1952 (להלן - החוק).</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2. האירוע מושא ההתדיינות אירע ביום 21.6.16, בין השעות 01:00 ל - 02:00 לפנות בוקר. על פי קביעותיו של בית משפט השלום, באותה עת, נסעו שני חיילים, החייל ע' (להלן - החייל) והקצין י' (להלן - הקצין; ביחד ייקראו השניים להלן - החיילים) על כביש 443 סמוך למחסום מכבים, לכיוון מזרח. השנים, אשר שירתו בפלוגה המסייעת בגדוד 94 של חטיבת כפיר, היו בנסיעה מנהלתית, בדרכם להחזיר לביתם ולבית חולים שני חיילים מיחידתם, אשר נטלו חלק באירוע של היחידה. על כלי רכבם של השנים הושלכו שתי אבנים גדולות. אחת מהן פגעה בכלי הרכב. במקום גם נשפך שמן על הכביש. על הכביש היו מונחים סלעים וקרשים. בהמשך, נתקלו השניים במספר כלי רכב ישראלים, אשר עצרו לצד הדרך. נהגיהם דיווחו כי יידו עליהם אבנים. על כלי הרכב נצפו נזקים, ובהם שמשות מנופצות ועקומות. מעדויות שנים מן הנהגים עולה כי נתקלו במטח אבנים וסלעים מכיוון הוואדי הסמוך. עולה גם כי על הכביש היו דליי צבע גדולים </w:t>
      </w:r>
      <w:r w:rsidRPr="005E1612">
        <w:rPr>
          <w:rFonts w:ascii="FrankRuehl" w:eastAsia="Calibri" w:hAnsi="FrankRuehl" w:cs="FrankRuehl"/>
          <w:noProof w:val="0"/>
          <w:sz w:val="28"/>
          <w:szCs w:val="28"/>
          <w:rtl/>
        </w:rPr>
        <w:lastRenderedPageBreak/>
        <w:t>בנפח של 18 גלון. אחד הנהגים מסר בחקירתו במשטרה כי קיבל, ככונן מד"א, דיווח על פצוע קשה במקום, וכי ראה שני כוננים מטפלים במקום בנפגעת חרדה.</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3. במצב זה, שני החיילים החליטו לחתור למגע עם מיידי האבנים, על מנת לנטרל את הסכנה ולעצור את המפגעים. הם עשו סיבוב פרסה, ונסעו בכיוון מערב. נסיעתם נעשתה נגד כיוון הנסיעה בנתיב בו היו. השנים זיהו הבזק של אור, אשר סברו כי ייתכן שהוא הצתה של בקבוק תבערה. כן זיהו כלי רכב במקום. במצב זה, ירו לעבר כלי הרכב. מן הירי נפגעו כמה תושבים מקומיים, ובהם המערער.</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4. המערער הגיש תביעה לפיצויים בגין נזקי גוף. הדיון בתביעה אוחד עם שתי תביעות של נפגעים נוספים באירוע. המדינה העלתה טענת הגנה, המבוססת על סעיף 5(א) לחוק. סעיף זה קובע כי "אין המדינה אחראית בנזיקים על מעשה שנעשה על ידי פעולה מלחמתית של צבא-הגנה לישראל". פעולה מלחמתית מוגדרת בסעיף 1 לחוק כ"כל פעולה של לחימה בטרור, במעשי איבה או בהתקוממות, וכן פעולה לשם מניעתם של טרור, מעשי איבה או התקוממות שהיא פעולה בעלת אופי לוחמתי, בהתחשב במכלול נסיבותיה, ובכלל זה במטרת הפעולה, במיקומה הגאוגרפי או באיום הנשקף לכוח המבצע אותה". </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5. בהתאם למצוות הדין, דן בית המשפט תחילה בטענה האמורה. בפסק הדין נקבע, על יסוד אמרות החייל ועדותו, כמו גם אמרות ועדויות שני אזרחים שהיו באירוע, כי האירוע בו הותקפו החיילים ואזרחים שעברו במקום, היה פיגוע טרור. נקבע, בהקשר זה, כי הפיגוע כלל יידוי אבנים גדולות, פיזור מפגעים ושפיכת שמן על הכביש (פסקה 12 ואילך לפסק הדין). נקבע, כי פוזרו חפצים על הכביש באופן המסכן את הנוסעים בו.</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6. בית המשפט קמא קבע, כי יידוי אבנים לעבר כלי רכב נוסעים הוא פיגוע לכל דבר, נוכח הסיכון הכרוך בכך לחיי העוברים בדרך. בהתחשב בכלל נתוני האירוע, כמפורט לעיל, אין לנו יסוד להתערב בקביעה זו. אף אין בערעור טענה של ממש כנגדה. אף יש יסוד לקביעה כי היה מדובר באירוע אינטנסיבי ומתמשך.</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7. עוד נקבע, על יסוד עדות החייל ואמרותיו בחקירת האירוע, כי מטרת פעולותיהם של החיילים באירוע הייתה למנוע המשך של אירוע הטרור. למסקנה זו נמצאו תימוכין גם בדרך פעולתם של </w:t>
      </w:r>
      <w:r w:rsidRPr="005E1612">
        <w:rPr>
          <w:rFonts w:ascii="FrankRuehl" w:eastAsia="Calibri" w:hAnsi="FrankRuehl" w:cs="FrankRuehl"/>
          <w:noProof w:val="0"/>
          <w:sz w:val="28"/>
          <w:szCs w:val="28"/>
          <w:rtl/>
        </w:rPr>
        <w:lastRenderedPageBreak/>
        <w:t xml:space="preserve">החיילים באירוע. במצב זה, ובשים לב למקום האירוע ולסיכון שהוא יצר, נקבע כי חלה על העניין הוראת סעיף 5(א) לחוק, ולפיכך התביעה נדחתה. </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8. נגד קביעה אחרונה זו מופנה הערעור שבפניו. לאחר שנתנו דעתנו לטענות המערער, על רקע כלל החומר שבפנינו, הגענו למסקנה כי יש לדחות את הערעור בלא צורך בתשובה (ראו תקנה 138(א)(1) לתקנות סדר הדין האזרחי, תשע"ט – 2018 (להלן – התקנות)). נעמוד עתה על הטעמים ביסוד מסקנה זו. </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9. נקודת המוצא לדיון היא, כי בעיקרו הערעור מופנה נגד קביעות שבעובדה, הנוגעות להתקיימות יסודותיו של סעיף 5(א) לחוק. ככלל, אין זה מדרכה של ערכאת ערעור להתערב בקביעות מסוג זה, המבוססות על ממצאי מהימנות שקבע הערכאה המבררת על יסוד התרשמותה הבלתי אמצעית מן העדים שבאו בפניה. טענות המערער אינן מצביעות על כך שבמקרה זה יש עילה לחרוג מגישה זו.</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10. ספציפית, המערער אינו מעלה טענה של ממש כנגד הממצא העובדתי המבוסס לפיו אירע במקום פיגוע טרור. ניתן אף להגדירו, נוכח נתוניו, כפיגוע חמור. במצב זה, יש לדחות את הטענה כאילו מדובר אך ב"מחשבתם הסובייקטיבית של היורים" (פסקה 5 לערעור). בצדק קבע בית משפט קמא, כי אין מדובר במצב בו החיילים דימו בטעות כי מתרחש אירוע טרור (פסקה 19 לפסק הדין).</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11. נוסיף, כבר בשלב זה, כי המערער אינו מתמודד בערעורו עם הגדרת "פעולה  מלחמתית" שבדין, על יסודותיה השונים. במצב זה, נוצר נתק של ממש בין הטיעון, לבין התשתית המשפטית המחייבת. גם  מבחינה זו, טמון קושי טבוע בערעור.</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12. המערער טוען כי הגרסה לפיה החיילים פעלו כדי לעצור את הפיגוע היא גרסה כבושה, אשר נולדה לראשונה בשלב הגשת התצהירים. אנו דוחים טענה זו. מן הראיות, אשר נסקרו בהרחבה ובפירוט בפסק דינו של בית משפט קמא, עולה בבירור כי יש בסיס מוצק לממצא שנקבע, לפיו החיילים פעלו כדי לעצור את  אירוע הטרור אליו נקלעו (פסקאות 18 - 19 לפסק הדין). המערער אינו מתמודד עם תשתית ראייתית זו, אשר במרכזה אמרות שמסר החייל עוד במצ"ח. במצב זה,  נשמט הבסיס לטענה בדבר כבישת הדברים. נוסיף, כי משעה שעדות החייל, בה חזר על דבריו הברורים אודות תכלית פעולתם של החיילים באירוע, התקבלה כאמינה, ונקבע כממצא כי </w:t>
      </w:r>
      <w:r w:rsidRPr="005E1612">
        <w:rPr>
          <w:rFonts w:ascii="FrankRuehl" w:eastAsia="Calibri" w:hAnsi="FrankRuehl" w:cs="FrankRuehl"/>
          <w:noProof w:val="0"/>
          <w:sz w:val="28"/>
          <w:szCs w:val="28"/>
          <w:rtl/>
        </w:rPr>
        <w:lastRenderedPageBreak/>
        <w:t>החיילים פעלו באירוע כדי לעצור את פיגוע הטרור, מתקיים במקרה היסוד המרכזי של "פעולה לשם מניעת(ו) של טרור", אשר בהגדרת הפעולה המלחמתית. לא למותר להעיר, כי אין בפי המערער כל טענה כנגד תום ליבם של החיילים (ראו פסקה 49 לערעור).</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13. בית משפט קמא  מצא תימוכין אובייקטיביים מזמן אמת לעדות החייל על מטרת פעולתם של החיילים , בכך שנסעו כנגד כיוון התנועה. יש יסוד למסקנה, כי פעולה זו, אשר היה כרוך בה סיכון עצמי של ממש, מלמדת על מידה ממשית של דחיפות בפעולת החיילים. הדבר תומך בתזה לפיה פעלו כדי לסכל את המשך הפיגוע.</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14. לא נעלם מעינינו כי החייל הזכיר בדבריו תכלית נוספת, והיא לעצור את מבצעי הפיגוע. ברם, אין דבר מה בתכלית זו הגורע, ולו  במקצת, מן התכלית של עצירת הפיגוע. במצב זה, אף לא ניתן לדבר על פעולה שתכליתה העיקרית היא שיטורית, כטענת המערער.</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15. המערער שם דגש בטיעוניו על האופי המנהלתי של נסיעת החיילים מלכתחילה, עובר לפיגוע בגדרו הותקפו. בית משפט קמא קבע כי עובדה זו אינה שוללת את אופי האירוע כפעולה מלחמתית. צוין, בצדק, כי אירועי טרור יכולים להתרחש בכל מקום ובכל זמן. החיילים נקלעו לאירוע לאחר שלא נערכו לו מראש. ברם, עובדה זו לא מאיינת את תכלית פעולתם (מניעת פיגוע); את מיקומה (אזור יהודה ושומרון, סמוך ליישובים שאינם בשליטה ישראלית, בתקופה בה אירעו פיגועי  טרור רבים; ראו קביעות בפסקה 19 לפסק הדין. המערער אינו חולק על הדברים); ואת האיום שנבע מן האירוע. נציין, כי במישור הזמן, פעולת החיילים נעשתה בסמוך לפיגוע. באותה נקודת זמן, לא ניתן היה לצאת מן ההנחה כי הפיגוע הסתיים (ראו הדברים המצוטטים בפסקה 18 לפסק הדין), אף כי בעת שפעלו החיילים, לא זוהו פעולות נוספות של פיגוע, כגון יידוי אבנים. היה יסוד להניח כי מדובר, כדברי החייל, ב"אירוע מתגלגל". יתר על כן, החייל מסר בחקירתו במצ"ח כי זיהה הבזק אור באזור השיחים ליד הכביש המקביל (שם). לדבריו, סבר שהדבר עשוי להיות בקבוק תבערה או ניסיון סנוור, כפי שקרה במקרה קודם, ולכן הדבר עשוי להצביע על סיכון. בהקשר זה הזכיר החייל כי מדובר בדבר חריג בהינתן שעת האירוע. נוכח מכלול שיקולים אלה, איננו מוצאים כל עילה להתערב במסקנה אליה הגיע בית המשפט בנקודה זו.</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16. המערער טוען כי החיילים פעלו באירוע כאזרחים פרטיים. בית המשפט דחה טענה זו  וקבע, כי פעלו במסגרת תפקידם כחיילי צה"ל, במטרה למנוע המשך של אירוע הטרור (פסקה 22 לפסק </w:t>
      </w:r>
      <w:r w:rsidRPr="005E1612">
        <w:rPr>
          <w:rFonts w:ascii="FrankRuehl" w:eastAsia="Calibri" w:hAnsi="FrankRuehl" w:cs="FrankRuehl"/>
          <w:noProof w:val="0"/>
          <w:sz w:val="28"/>
          <w:szCs w:val="28"/>
          <w:rtl/>
        </w:rPr>
        <w:lastRenderedPageBreak/>
        <w:t xml:space="preserve">הדין). מסקנה זו מקובלת עלינו. אופייה המנהלתי של הנסיעה מלכתחילה אינו מאיין וגם אינו מחליש את הזיקה הארגונית של החיילים לצבא בעת האירוע. נזכיר, כי מדובר בנסיעה במדים, בכלי רכב צבאי, במסגרת השירות הצבאי של החיילים. זאת ועוד, אופייה המנהלתי של הנסיעה מלכתחילה לא איין את חובתם של החיילים למלא את תפקידם כחיילים המופקדים על משמר המדינה ואזרחיה. פעולתם הייתה, בבירור, למטרה זו. יוצא, כי גם בנקודה זו אין עילה להתערב בפסק הדין. </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17. המערער טוען כי בעת שפעלו, לא היו החיילים בסכנת חיים. תמיכה לכך נמצאת בעדות החייל, אשר העיד כי לא חש באותה נקודת זמן סכנה ממשית לעצמו (ראו בפסקה 20 לפסק הדין).</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18. בניגוד להגדרה הקודמת של פעולה מלחמתית, במועד הרלוונטי לא נדרש בדין כי יהא מדובר בפעולה בנסיבות של סיכון לחיים או לגוף. בה בעת, ניתן משקל, לצד נסיבות אחרות, לקיומו של איום על הכוח הצבאי. איום כזה התקיים בבירור זמן קצר טרם הירי שבוצע על ידי החיילים. לצידו עומדת בעינה התכלית של הגנה על שלומם של האזרחים (פסקה 20 לפסק הדין). תכלית זו שלובה בתכלית של  סיכול פעולת טרור, בנסיבות בהן לא יכלו החיילים להניח כי הפיגוע לא יתחדש בכל רגע (שם). נזכיר, כי על פי הוראת סעיף 5(א) לחוק, יש להתחשב בכלל נסיבות האירוע. מסקנת בית המשפט, כי כלל  הנסיבות, עליהן עמדנו, מלמדות על פעולה מלחמתית, סבירה ואף מתבקשת בנסיבות העניין.</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19. המערער טוען כי יש לייחס משקל לכך שהחיילים לא פנו לקבל אישור לירי מן הסמג"ד או מן  החמ"ל. ברם, אין עילה להתערב בקביעתו של בית משפט קמא לפיה הדבר אינו שולל את קיומה של פעולה מלחמתית. כמה טעמים לדבר. </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20. ראשית, אין דרישה כזו בחוק.</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 xml:space="preserve">21. שנית, במהותו, עניין זה נוגע בעיקרו לסבירות פעולתם של החיילים. ברם, כפי שציין בית המשפט קמא, במישור המושגי, קיומה של התרשלות נטענת אינו גורע, כשלעצמו, מסיווגה של הפעולה כפעולה מלחמתית (ראו ע"א 6655/21 </w:t>
      </w:r>
      <w:r w:rsidRPr="005E1612">
        <w:rPr>
          <w:rFonts w:ascii="Miriam" w:eastAsia="Calibri" w:hAnsi="Miriam" w:cs="Miriam"/>
          <w:noProof w:val="0"/>
          <w:rtl/>
        </w:rPr>
        <w:t>פלוני נ' מדינת ישראל</w:t>
      </w:r>
      <w:r w:rsidRPr="005E1612">
        <w:rPr>
          <w:rFonts w:ascii="FrankRuehl" w:eastAsia="Calibri" w:hAnsi="FrankRuehl" w:cs="FrankRuehl"/>
          <w:noProof w:val="0"/>
          <w:sz w:val="28"/>
          <w:szCs w:val="28"/>
          <w:rtl/>
        </w:rPr>
        <w:t xml:space="preserve"> (12.7.22), שם צוין כי "בית המשפט אינו נדרש לבחון האם המעשה נושא התביעה נעשה ברשלנות, רשלנות חמורה או אף בפזיזות. אם בית המשפט מסיק מלכתחילה .... כי [המעשה] נעשה במסגרת פעולה מלחמתית, עליו לסלק את התביעה על הסף ולא לבחון את המעשה לגופו בכלים נזיקיים.." (בעמוד 19 לפסק </w:t>
      </w:r>
      <w:r w:rsidRPr="005E1612">
        <w:rPr>
          <w:rFonts w:ascii="FrankRuehl" w:eastAsia="Calibri" w:hAnsi="FrankRuehl" w:cs="FrankRuehl"/>
          <w:noProof w:val="0"/>
          <w:sz w:val="28"/>
          <w:szCs w:val="28"/>
          <w:rtl/>
        </w:rPr>
        <w:lastRenderedPageBreak/>
        <w:t xml:space="preserve">דינה של כב' השופטת ר' רונן). נכתב עוד, כי בחינה כזו של המקרה במשקפי דיני הנזיקין בשלב ההחלטה אם מתקיימת חסינות "מנוגדת ללשון החוק ומעקרת מתוכן את הרציונל העיקרי שלו" (שם, בעמוד 20). עוד נכתב כי בחינה כזו אף עלולה "לייצר את האפקט המצנן שאינו רצוי בהקשרים אלה" (שם; ראו ברוח דומה גם בפסקאות 23 - 24 לפסק דינה של כב' השופטת י' וילנר באותה פרשה). </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22. המערער אינו מתמודד עם פסיקה זו, אף שצוטטה בפסק דינו של בית משפט קמא. במצב זה, אנו דוחים את טענתו לעניין העדר אישור של גורם זה או אחר, כמו גם את הטענה כי ניתן היה לבקש אישור כזה בפרק הזמן שעבר מרגע שהחיילים הותקפו ועד לרגע בו פעלו בתגובה לפיגוע. מטעמים דומים אנו דוחים טענות נוספות של המערער בהן הוא מייחס, הלכה למעשה, רשלנות לחיילים, ובכלל זה הטענות לאי קיום נהלי פתיחה באש; זיהוי שגוי של המערער כמי שנטל חלק בביצוע הפיגוע; העובדה שחיילים אחרים שנחשפו לאירוע לא פעלו באופן דומה; העדר ראייה כי גורם כמו הסמג"ד היה מאשר את פעולת החיילים בנסיבות העניין; אי היכרותם של החיילים עם כביש הסמוך לכביש 443; הטענה להעדר ראיה כי החיילים ראו דמויות נעות בשטח; הטענה כי על כלי רכבו של המערער הייתה לוחית רישוי צהובה; ועוד.</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23. אגב כך נעיר, כי אין יסוד בדין להנחת המערער כי פעולה מלחמתית היא בהכרח ובכל מקרה פעולה יזומה המתוכננת מבעוד מועד, אשר עברה תהליך סדור של אישור. ייתכנו בהחלט נסיבות של דחק פתאומי, בהן הפעולה המלחמתית באה בתגובה מיידית או מהירה למתקפה בלתי צפויה. במצב כזה אין זה מעשי לקיים תהליך סדור של תכנונים ואישורים. כך היה במקרה הנוכחי (ראו פסקה 22 לפסק הדין).</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t>24. המערער טוען כי על בית המשפט קמא היה לקבוע פוזיטיבית כי הוא לא היו מעורב בביצוע הפיגוע. בית המשפט נדרש בפירוט לעניין זה. הוא עמד על שורה של קשיים  בגרסאות התובעים שבפניו, ובהם המערער. מנגד עמד על העדרן של ראיות פוזיטיביות כי המערער (או מי משאר התובעים בבית משפט קמא) היו מעורבים בביצוע הפיגוע. בית המשפט גם נתן דעתו לעדות החייל כי גורמים צבאיים סברו שמדובר בירי על חפים מפשע. אין בפנינו כל טענה העשויה להעמיד בסימן שאלה קביעות אלה של בית המשפט. בכל מקרה, גם אם נניח כי מדובר בזיהוי שגוי של המערער כמבצע הפיגוע, אין הדבר גורע מתיוג הפעולה כפעולה מלחמתית, כמוסבר לעיל (ראו ברוח זו בפסקה 26 לפסק הדין). לפיכך, טענה זו אינה מסייעת לו.</w:t>
      </w:r>
    </w:p>
    <w:p w:rsidR="005E1612" w:rsidRPr="005E1612" w:rsidRDefault="005E1612" w:rsidP="005E1612">
      <w:pPr>
        <w:spacing w:after="160" w:line="360" w:lineRule="auto"/>
        <w:jc w:val="both"/>
        <w:rPr>
          <w:rFonts w:ascii="FrankRuehl" w:eastAsia="Calibri" w:hAnsi="FrankRuehl" w:cs="FrankRuehl"/>
          <w:noProof w:val="0"/>
          <w:sz w:val="28"/>
          <w:szCs w:val="28"/>
          <w:rtl/>
        </w:rPr>
      </w:pPr>
      <w:r w:rsidRPr="005E1612">
        <w:rPr>
          <w:rFonts w:ascii="FrankRuehl" w:eastAsia="Calibri" w:hAnsi="FrankRuehl" w:cs="FrankRuehl"/>
          <w:noProof w:val="0"/>
          <w:sz w:val="28"/>
          <w:szCs w:val="28"/>
          <w:rtl/>
        </w:rPr>
        <w:lastRenderedPageBreak/>
        <w:t xml:space="preserve">25. התוצאה של כל האמור היא, כי הערעור נדחה. משלא התבקשה תשובה, אין צו להוצאות. העירבון שהופקד יושב למערער באמצעות ב"כ.  </w:t>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2024</w:t>
          </w:r>
        </w:sdtContent>
      </w:sdt>
      <w:r w:rsidR="00005C8B">
        <w:rPr>
          <w:rFonts w:ascii="Arial" w:hAnsi="Arial"/>
          <w:noProof w:val="0"/>
          <w:rtl/>
        </w:rPr>
        <w:t>, בהעדר הצדדים.</w:t>
      </w:r>
    </w:p>
    <w:p w:rsidR="00C43648" w:rsidRDefault="00745BC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5E1612" w:rsidRDefault="005E1612" w:rsidP="005E1612">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tbl>
      <w:tblPr>
        <w:tblStyle w:val="a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54"/>
        <w:gridCol w:w="236"/>
        <w:gridCol w:w="2284"/>
        <w:gridCol w:w="236"/>
        <w:gridCol w:w="2464"/>
      </w:tblGrid>
      <w:tr w:rsidR="005E1612" w:rsidRPr="00896687" w:rsidTr="009D14A6">
        <w:trPr>
          <w:jc w:val="center"/>
        </w:trPr>
        <w:tc>
          <w:tcPr>
            <w:tcW w:w="2654" w:type="dxa"/>
            <w:tcBorders>
              <w:top w:val="nil"/>
              <w:left w:val="nil"/>
              <w:bottom w:val="single" w:sz="4" w:space="0" w:color="auto"/>
              <w:right w:val="nil"/>
            </w:tcBorders>
            <w:vAlign w:val="center"/>
          </w:tcPr>
          <w:p w:rsidR="005E1612" w:rsidRPr="00896687" w:rsidRDefault="005E1612">
            <w:pPr>
              <w:jc w:val="center"/>
              <w:rPr>
                <w:rFonts w:ascii="Courier New" w:hAnsi="Courier New"/>
                <w:b/>
                <w:bCs/>
              </w:rPr>
            </w:pPr>
            <w:r>
              <w:drawing>
                <wp:inline distT="0" distB="0" distL="0" distR="0" wp14:anchorId="082B7F5B" wp14:editId="07C18A9F">
                  <wp:extent cx="731520" cy="476885"/>
                  <wp:effectExtent l="0" t="0" r="0" b="0"/>
                  <wp:docPr id="4" name="Picture 1" descr="058893793"/>
                  <wp:cNvGraphicFramePr/>
                  <a:graphic xmlns:a="http://schemas.openxmlformats.org/drawingml/2006/main">
                    <a:graphicData uri="http://schemas.openxmlformats.org/drawingml/2006/picture">
                      <pic:pic xmlns:pic="http://schemas.openxmlformats.org/drawingml/2006/picture">
                        <pic:nvPicPr>
                          <pic:cNvPr id="4" name="Picture 1" descr="05889379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1520" cy="476885"/>
                          </a:xfrm>
                          <a:prstGeom prst="rect">
                            <a:avLst/>
                          </a:prstGeom>
                          <a:noFill/>
                          <a:ln>
                            <a:noFill/>
                          </a:ln>
                        </pic:spPr>
                      </pic:pic>
                    </a:graphicData>
                  </a:graphic>
                </wp:inline>
              </w:drawing>
            </w:r>
          </w:p>
        </w:tc>
        <w:tc>
          <w:tcPr>
            <w:tcW w:w="236" w:type="dxa"/>
            <w:vAlign w:val="center"/>
          </w:tcPr>
          <w:p w:rsidR="005E1612" w:rsidRPr="00896687" w:rsidRDefault="005E1612">
            <w:pPr>
              <w:jc w:val="center"/>
              <w:rPr>
                <w:rFonts w:ascii="Courier New" w:hAnsi="Courier New"/>
                <w:b/>
                <w:bCs/>
              </w:rPr>
            </w:pPr>
          </w:p>
        </w:tc>
        <w:tc>
          <w:tcPr>
            <w:tcW w:w="2284" w:type="dxa"/>
            <w:tcBorders>
              <w:top w:val="nil"/>
              <w:left w:val="nil"/>
              <w:bottom w:val="single" w:sz="4" w:space="0" w:color="auto"/>
              <w:right w:val="nil"/>
            </w:tcBorders>
            <w:vAlign w:val="center"/>
          </w:tcPr>
          <w:p w:rsidR="005E1612" w:rsidRPr="00AF657B" w:rsidRDefault="005E1612">
            <w:pPr>
              <w:jc w:val="center"/>
              <w:rPr>
                <w:rFonts w:ascii="Courier New" w:hAnsi="Courier New"/>
                <w:rtl/>
              </w:rPr>
            </w:pPr>
            <w:r>
              <w:drawing>
                <wp:inline distT="0" distB="0" distL="0" distR="0" wp14:anchorId="020E76AE" wp14:editId="7FEBAB80">
                  <wp:extent cx="1427480" cy="440055"/>
                  <wp:effectExtent l="0" t="0" r="1270" b="0"/>
                  <wp:docPr id="2" name="תמונה 2" descr="C:\Users\ShimiG\AppData\Local\Microsoft\Windows\Temporary Internet Files\Content.Word\058667486.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58667486.tif"/>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7480" cy="440055"/>
                          </a:xfrm>
                          <a:prstGeom prst="rect">
                            <a:avLst/>
                          </a:prstGeom>
                          <a:noFill/>
                          <a:ln>
                            <a:noFill/>
                          </a:ln>
                        </pic:spPr>
                      </pic:pic>
                    </a:graphicData>
                  </a:graphic>
                </wp:inline>
              </w:drawing>
            </w:r>
          </w:p>
        </w:tc>
        <w:tc>
          <w:tcPr>
            <w:tcW w:w="236" w:type="dxa"/>
            <w:vAlign w:val="center"/>
          </w:tcPr>
          <w:p w:rsidR="005E1612" w:rsidRPr="00896687" w:rsidRDefault="005E1612">
            <w:pPr>
              <w:jc w:val="center"/>
              <w:rPr>
                <w:rFonts w:ascii="Courier New" w:hAnsi="Courier New"/>
                <w:b/>
                <w:bCs/>
              </w:rPr>
            </w:pPr>
          </w:p>
        </w:tc>
        <w:tc>
          <w:tcPr>
            <w:tcW w:w="2464" w:type="dxa"/>
            <w:tcBorders>
              <w:top w:val="nil"/>
              <w:left w:val="nil"/>
              <w:bottom w:val="single" w:sz="4" w:space="0" w:color="auto"/>
              <w:right w:val="nil"/>
            </w:tcBorders>
            <w:vAlign w:val="center"/>
          </w:tcPr>
          <w:p w:rsidR="005E1612" w:rsidRPr="00896687" w:rsidRDefault="005E1612">
            <w:pPr>
              <w:jc w:val="center"/>
              <w:rPr>
                <w:rFonts w:ascii="Courier New" w:hAnsi="Courier New"/>
                <w:b/>
                <w:bCs/>
              </w:rPr>
            </w:pPr>
            <w:r>
              <w:drawing>
                <wp:inline distT="0" distB="0" distL="0" distR="0" wp14:anchorId="66961D65" wp14:editId="2257B1C6">
                  <wp:extent cx="923027" cy="662389"/>
                  <wp:effectExtent l="0" t="0" r="0" b="4445"/>
                  <wp:docPr id="3" name="תמונה 3" descr="\\ctlnfsv02\Doc_repository\JudgesSignatures\05042006\027838697.TIF"/>
                  <wp:cNvGraphicFramePr/>
                  <a:graphic xmlns:a="http://schemas.openxmlformats.org/drawingml/2006/main">
                    <a:graphicData uri="http://schemas.openxmlformats.org/drawingml/2006/picture">
                      <pic:pic xmlns:pic="http://schemas.openxmlformats.org/drawingml/2006/picture">
                        <pic:nvPicPr>
                          <pic:cNvPr id="1" name="תמונה 1" descr="\\ctlnfsv02\Doc_repository\JudgesSignatures\05042006\027838697.TIF"/>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7703" cy="665745"/>
                          </a:xfrm>
                          <a:prstGeom prst="rect">
                            <a:avLst/>
                          </a:prstGeom>
                          <a:noFill/>
                          <a:ln>
                            <a:noFill/>
                          </a:ln>
                        </pic:spPr>
                      </pic:pic>
                    </a:graphicData>
                  </a:graphic>
                </wp:inline>
              </w:drawing>
            </w:r>
          </w:p>
        </w:tc>
      </w:tr>
      <w:tr w:rsidR="005E1612" w:rsidRPr="00896687" w:rsidTr="007074E4">
        <w:trPr>
          <w:jc w:val="center"/>
        </w:trPr>
        <w:tc>
          <w:tcPr>
            <w:tcW w:w="2654" w:type="dxa"/>
            <w:tcBorders>
              <w:top w:val="single" w:sz="4" w:space="0" w:color="auto"/>
              <w:left w:val="nil"/>
              <w:bottom w:val="nil"/>
              <w:right w:val="nil"/>
            </w:tcBorders>
          </w:tcPr>
          <w:p w:rsidR="005E1612" w:rsidRPr="00896687" w:rsidRDefault="005E1612" w:rsidP="000D6FB9">
            <w:pPr>
              <w:jc w:val="center"/>
              <w:rPr>
                <w:b/>
                <w:bCs/>
                <w:rtl/>
              </w:rPr>
            </w:pPr>
            <w:r>
              <w:rPr>
                <w:rFonts w:hint="cs"/>
                <w:b/>
                <w:bCs/>
                <w:rtl/>
              </w:rPr>
              <w:t>עודד שחם, שופט</w:t>
            </w:r>
          </w:p>
          <w:p w:rsidR="005E1612" w:rsidRPr="00896687" w:rsidRDefault="005E1612">
            <w:pPr>
              <w:jc w:val="center"/>
              <w:rPr>
                <w:b/>
                <w:bCs/>
                <w:sz w:val="28"/>
              </w:rPr>
            </w:pPr>
            <w:r w:rsidRPr="00896687">
              <w:rPr>
                <w:rFonts w:hint="cs"/>
                <w:b/>
                <w:bCs/>
                <w:rtl/>
              </w:rPr>
              <w:t>[אב"ד]</w:t>
            </w:r>
          </w:p>
        </w:tc>
        <w:tc>
          <w:tcPr>
            <w:tcW w:w="236" w:type="dxa"/>
          </w:tcPr>
          <w:p w:rsidR="005E1612" w:rsidRPr="00896687" w:rsidRDefault="005E1612">
            <w:pPr>
              <w:jc w:val="center"/>
              <w:rPr>
                <w:b/>
                <w:bCs/>
                <w:color w:val="FF0000"/>
                <w:sz w:val="28"/>
              </w:rPr>
            </w:pPr>
          </w:p>
        </w:tc>
        <w:tc>
          <w:tcPr>
            <w:tcW w:w="2284" w:type="dxa"/>
            <w:tcBorders>
              <w:top w:val="single" w:sz="4" w:space="0" w:color="auto"/>
              <w:left w:val="nil"/>
              <w:bottom w:val="nil"/>
              <w:right w:val="nil"/>
            </w:tcBorders>
          </w:tcPr>
          <w:p w:rsidR="005E1612" w:rsidRPr="00896687" w:rsidRDefault="005E1612" w:rsidP="00BE335C">
            <w:pPr>
              <w:pStyle w:val="3"/>
              <w:spacing w:line="240" w:lineRule="auto"/>
              <w:jc w:val="center"/>
              <w:outlineLvl w:val="2"/>
              <w:rPr>
                <w:noProof w:val="0"/>
                <w:sz w:val="28"/>
              </w:rPr>
            </w:pPr>
            <w:r>
              <w:rPr>
                <w:rFonts w:hint="cs"/>
                <w:rtl/>
              </w:rPr>
              <w:t>אברהם רובין</w:t>
            </w:r>
            <w:r w:rsidRPr="00896687">
              <w:rPr>
                <w:rFonts w:ascii="Courier New" w:hAnsi="Courier New" w:hint="cs"/>
                <w:rtl/>
              </w:rPr>
              <w:t>, שופט</w:t>
            </w:r>
          </w:p>
        </w:tc>
        <w:tc>
          <w:tcPr>
            <w:tcW w:w="236" w:type="dxa"/>
          </w:tcPr>
          <w:p w:rsidR="005E1612" w:rsidRPr="00896687" w:rsidRDefault="005E1612" w:rsidP="007074E4">
            <w:pPr>
              <w:jc w:val="center"/>
              <w:rPr>
                <w:b/>
                <w:bCs/>
                <w:color w:val="FF0000"/>
                <w:sz w:val="28"/>
              </w:rPr>
            </w:pPr>
          </w:p>
        </w:tc>
        <w:tc>
          <w:tcPr>
            <w:tcW w:w="2464" w:type="dxa"/>
            <w:tcBorders>
              <w:top w:val="single" w:sz="4" w:space="0" w:color="auto"/>
              <w:left w:val="nil"/>
              <w:bottom w:val="nil"/>
              <w:right w:val="nil"/>
            </w:tcBorders>
          </w:tcPr>
          <w:p w:rsidR="005E1612" w:rsidRPr="00896687" w:rsidRDefault="005E1612" w:rsidP="007074E4">
            <w:pPr>
              <w:jc w:val="center"/>
              <w:rPr>
                <w:b/>
                <w:bCs/>
                <w:sz w:val="28"/>
              </w:rPr>
            </w:pPr>
            <w:r>
              <w:rPr>
                <w:rFonts w:hint="cs"/>
                <w:b/>
                <w:bCs/>
                <w:rtl/>
              </w:rPr>
              <w:t>נמרוד פלקס</w:t>
            </w:r>
            <w:r w:rsidRPr="00896687">
              <w:rPr>
                <w:rFonts w:ascii="Courier New" w:hAnsi="Courier New" w:hint="cs"/>
                <w:b/>
                <w:bCs/>
                <w:rtl/>
              </w:rPr>
              <w:t>, שופט</w:t>
            </w:r>
          </w:p>
        </w:tc>
      </w:tr>
    </w:tbl>
    <w:p w:rsidR="005E1612" w:rsidRDefault="005E1612"/>
    <w:p w:rsidR="00694556" w:rsidRDefault="00694556" w:rsidP="005E1612">
      <w:pPr>
        <w:tabs>
          <w:tab w:val="left" w:pos="2553"/>
        </w:tabs>
        <w:rPr>
          <w:rFonts w:ascii="Arial" w:hAnsi="Arial"/>
          <w:noProof w:val="0"/>
          <w:rtl/>
        </w:rPr>
      </w:pPr>
    </w:p>
    <w:sectPr w:rsidR="00694556"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C3" w:rsidRDefault="00745BC3">
      <w:r>
        <w:separator/>
      </w:r>
    </w:p>
  </w:endnote>
  <w:endnote w:type="continuationSeparator" w:id="0">
    <w:p w:rsidR="00745BC3" w:rsidRDefault="0074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612" w:rsidRDefault="005E161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727FD9">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727FD9">
      <w:rPr>
        <w:rStyle w:val="ab"/>
        <w:rFonts w:ascii="David" w:hAnsi="David"/>
        <w:rtl/>
      </w:rPr>
      <w:t>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612" w:rsidRDefault="005E161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C3" w:rsidRDefault="00745BC3">
      <w:r>
        <w:separator/>
      </w:r>
    </w:p>
  </w:footnote>
  <w:footnote w:type="continuationSeparator" w:id="0">
    <w:p w:rsidR="00745BC3" w:rsidRDefault="00745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612" w:rsidRDefault="005E161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45BC3"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57708-01-24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פלוני נ' מדינת ישראל</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612" w:rsidRDefault="005E161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37225"/>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937225&amp;lt;/CaseID&amp;gt;_x000d__x000a_        &amp;lt;DocumentID&amp;gt;453829957&amp;lt;/DocumentID&amp;gt;_x000d__x000a_      &amp;lt;/dt_DocumentCase&amp;gt;_x000d__x000a_      &amp;lt;dt_Document diffgr:id=&amp;quot;dt_Document1&amp;quot; msdata:rowOrder=&amp;quot;0&amp;quot;&amp;gt;_x000d__x000a_        &amp;lt;DocumentID&amp;gt;453829957&amp;lt;/DocumentID&amp;gt;_x000d__x000a_        &amp;lt;DocumentMainID&amp;gt;0&amp;lt;/DocumentMainID&amp;gt;_x000d__x000a_        &amp;lt;CaseID&amp;gt;80937225&amp;lt;/CaseID&amp;gt;_x000d__x000a_        &amp;lt;DocumentIncludedDate&amp;gt;2024-09-01T06:56:01.64+03:00&amp;lt;/DocumentIncludedDate&amp;gt;_x000d__x000a_        &amp;lt;DocumentDesc&amp;gt;פסק דין  שניתנה ע&amp;quot;י  עודד שחם&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01T06:56:01.64+03:00&amp;lt;/DocumentSavingDate&amp;gt;_x000d__x000a_        &amp;lt;DocumentChangeDate&amp;gt;2024-09-01T06:56:01.767+03:00&amp;lt;/DocumentChangeDate&amp;gt;_x000d__x000a_        &amp;lt;IsScanned&amp;gt;false&amp;lt;/IsScanned&amp;gt;_x000d__x000a_        &amp;lt;PageQuantity&amp;gt;0&amp;lt;/PageQuantity&amp;gt;_x000d__x000a_        &amp;lt;DocumentStatusID&amp;gt;2&amp;lt;/DocumentStatusID&amp;gt;_x000d__x000a_        &amp;lt;DocumentStatusChangeDate&amp;gt;2024-09-01T06:56:01.767+03:00&amp;lt;/DocumentStatusChangeDate&amp;gt;_x000d__x000a_        &amp;lt;TemplateVersionID&amp;gt;1&amp;lt;/TemplateVersionID&amp;gt;_x000d__x000a_        &amp;lt;DocumentChangeUserID&amp;gt;058893793@GOV.IL&amp;lt;/DocumentChangeUserID&amp;gt;_x000d__x000a_        &amp;lt;DocumentCreationUserID&amp;gt;058893793@GOV.IL&amp;lt;/DocumentCreationUserID&amp;gt;_x000d__x000a_        &amp;lt;OriginalDocumentID&amp;gt;447831605&amp;lt;/OriginalDocumentID&amp;gt;_x000d__x000a_        &amp;lt;PrivillegeID&amp;gt;2&amp;lt;/PrivillegeID&amp;gt;_x000d__x000a_        &amp;lt;FromPage&amp;gt;0&amp;lt;/FromPage&amp;gt;_x000d__x000a_        &amp;lt;ToPage&amp;gt;0&amp;lt;/ToPage&amp;gt;_x000d__x000a_        &amp;lt;FileID&amp;gt;f6bab9ab91010000090037f6ab0e787e&amp;lt;/FileID&amp;gt;_x000d__x000a_        &amp;lt;URL&amp;gt;\\CTLNFSV02\doc_repository\844\902\7cce297d90010000090037f6aa91951a_copy.docx&amp;lt;/URL&amp;gt;_x000d__x000a_        &amp;lt;OlivePriority&amp;gt;1&amp;lt;/OlivePriority&amp;gt;_x000d__x000a_        &amp;lt;MetaDataTypeID&amp;gt;1&amp;lt;/MetaDataTypeID&amp;gt;_x000d__x000a_        &amp;lt;MetaDataChangeDate&amp;gt;2024-09-01T06:56:01.76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ודד שחם&amp;amp;lt;/anyType&amp;amp;gt;_x000d__x000a_    &amp;amp;lt;anyType xsi:type=&amp;quot;xsd:dateTime&amp;quot;&amp;amp;gt;2024-07-04T12:53:31.13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04T12:53:31.13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1AD6"/>
    <w:rsid w:val="001C4003"/>
    <w:rsid w:val="001C766E"/>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0535"/>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E1612"/>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2740D"/>
    <w:rsid w:val="00727FD9"/>
    <w:rsid w:val="00734689"/>
    <w:rsid w:val="007351F7"/>
    <w:rsid w:val="00745BC3"/>
    <w:rsid w:val="00753019"/>
    <w:rsid w:val="00754801"/>
    <w:rsid w:val="00761441"/>
    <w:rsid w:val="00795365"/>
    <w:rsid w:val="007A351D"/>
    <w:rsid w:val="007B7765"/>
    <w:rsid w:val="007C2453"/>
    <w:rsid w:val="007C5BDD"/>
    <w:rsid w:val="007D45E3"/>
    <w:rsid w:val="007E6115"/>
    <w:rsid w:val="007F4609"/>
    <w:rsid w:val="007F4904"/>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A5967"/>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D790E"/>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5E1612"/>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5E1612"/>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094969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tif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C76EC"/>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266679978</CasePartyID>
        <PartyTypeID>2</PartyTypeID>
        <ActivityStatusID>1</ActivityStatusID>
        <PartyAliasID>23</PartyAliasID>
        <PartyAliasName>בא כוח משיבים</PartyAliasName>
        <LegalEntityID>379600</LegalEntityID>
        <CaseLegalEntityID>127863157</CaseLegalEntityID>
        <AuthenticationTypeID>4</AuthenticationTypeID>
        <AuthenticationTypeName>מ.ר.</AuthenticationTypeName>
        <LegalEntityNumber>14771</LegalEntityNumber>
        <IsMainPartyType>true</IsMainPartyType>
        <CaseDisplayIdentifier>57708-01-24</CaseDisplayIdentifier>
        <CaseTypeID>10001</CaseTypeID>
        <CaseTypeName>ערעור אזרחי (ע"א)</CaseTypeName>
        <CaseName>עות'מאן נ' מדינת ישראל</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עהד עות'מאן</FullName>
        <FirstName>עהד</FirstName>
        <LastName>עתמאן</LastName>
        <PartyPropertyName/>
        <AuthenticationTypeAndNumber>תושבי איו"ש 860045426</AuthenticationTypeAndNumber>
        <RepresentatedOrRepresentativesNames>אבראהים אגבאריה</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265441045</CasePartyID>
        <PartyTypeID>1</PartyTypeID>
        <ActivityStatusID>1</ActivityStatusID>
        <PartyAliasID>5</PartyAliasID>
        <PartyAliasName>מערער</PartyAliasName>
        <OrdinalNumber>1</OrdinalNumber>
        <LegalEntityID>76673954</LegalEntityID>
        <CaseLegalEntityID>127503065</CaseLegalEntityID>
        <AuthenticationTypeID>36</AuthenticationTypeID>
        <AuthenticationTypeName>תושבי איו"ש</AuthenticationTypeName>
        <LegalEntityNumber>860045426</LegalEntityNumber>
        <IsMainPartyType>true</IsMainPartyType>
        <CaseDisplayIdentifier>57708-01-24</CaseDisplayIdentifier>
        <CaseTypeID>10001</CaseTypeID>
        <CaseTypeName>ערעור אזרחי (ע"א)</CaseTypeName>
        <CaseName>עות'מאן נ' מדינת ישראל</CaseName>
        <FullAddress/>
        <MotionID>0</MotionID>
        <CasePleaID>0</CasePleaID>
        <FatherName>אכרם</FatherName>
        <LinkedCaseID>0</LinkedCaseID>
        <PartyID>1</PartyID>
        <CasePartyCategoryID>2</CasePartyCategoryID>
        <PleaTypeID>6</PleaTypeID>
        <GroupPartyAlias>מערערים</GroupPartyAlias>
        <IsConverted>false</IsConverted>
        <LegalEntityRegisteredNameID>10631968</LegalEntityRegisteredNameID>
        <LegalEntityNameID>96050794</LegalEntityNameID>
        <RepresentatedNamesOfAssistant/>
        <LegalEntityTypeID>9</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אבראהים אגבאריה</FullName>
        <FirstName>אבראהים</FirstName>
        <LastName>אגבאריה</LastName>
        <PartyPropertyName/>
        <AuthenticationTypeAndNumber>מ.ר. 56143</AuthenticationTypeAndNumber>
        <RepresentatedOrRepresentativesNames>עהד עות'מאן</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265441047</CasePartyID>
        <PartyTypeID>2</PartyTypeID>
        <ActivityStatusID>1</ActivityStatusID>
        <PartyAliasID>24</PartyAliasID>
        <PartyAliasName>בא כוח מערערים</PartyAliasName>
        <OrdinalNumber>1</OrdinalNumber>
        <LegalEntityID>70256778</LegalEntityID>
        <CaseLegalEntityID>127503067</CaseLegalEntityID>
        <AuthenticationTypeID>4</AuthenticationTypeID>
        <AuthenticationTypeName>מ.ר.</AuthenticationTypeName>
        <LegalEntityNumber>56143</LegalEntityNumber>
        <IsMainPartyType>true</IsMainPartyType>
        <CaseDisplayIdentifier>57708-01-24</CaseDisplayIdentifier>
        <CaseTypeID>10001</CaseTypeID>
        <CaseTypeName>ערעור אזרחי (ע"א)</CaseTypeName>
        <CaseName>עות'מאן נ' מדינת ישראל</CaseName>
        <FullAddress>מוסמוס-מעלה עירון מוסמוס ת.ד 500</FullAddress>
        <EmailAddress>ibragbaria@walla.com</EmailAddress>
        <MotionID>0</MotionID>
        <CasePleaID>0</CasePleaID>
        <LinkedCaseID>0</LinkedCaseID>
        <PartyID>1</PartyID>
        <CasePartyCategoryID>2</CasePartyCategoryID>
        <LegalEntityAddressID>76420738</LegalEntityAddressID>
        <LegalEntityEmailAddressID>67944902</LegalEntityEmailAddressID>
        <PleaTypeID>6</PleaTypeID>
        <LawyerOfficeName>משרד עו"ד אבראהים אגבאריה</LawyerOfficeName>
        <LawyerOfficeID>70256779</LawyerOfficeID>
        <GroupPartyAlias/>
        <IsConverted>false</IsConverted>
        <LegalEntityNameID>72730283</LegalEntityNameID>
        <RepresentatedNamesOfAssistant/>
        <LegalEntityTypeID>4</LegalEntityTypeID>
        <IsVerdictExists>false</IsVerdictExists>
        <IsAsirAzir>false</IsAsirAzir>
        <MainAndSecSpec/>
        <IsPublicationProhibited>false</IsPublicationProhibited>
        <PublicationProhibitedFullName>אבראהים אגבאריה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265441046</CasePartyID>
        <PartyTypeID>1</PartyTypeID>
        <ActivityStatusID>1</ActivityStatusID>
        <PartyAliasID>4</PartyAliasID>
        <PartyAliasName>משיב</PartyAliasName>
        <OrdinalNumber>1</OrdinalNumber>
        <LegalEntityID>4</LegalEntityID>
        <CaseLegalEntityID>127503066</CaseLegalEntityID>
        <AuthenticationTypeID>41</AuthenticationTypeID>
        <AuthenticationTypeName>מדינת ישראל </AuthenticationTypeName>
        <LegalEntityNumber/>
        <IsMainPartyType>true</IsMainPartyType>
        <CaseDisplayIdentifier>57708-01-24</CaseDisplayIdentifier>
        <CaseTypeID>10001</CaseTypeID>
        <CaseTypeName>ערעור אזרחי (ע"א)</CaseTypeName>
        <CaseName>עות'מאן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DecisionName>פסק דין  שניתנה ע"י  עודד שחם</DecisionName>
    <CourtDisplayName>בית המשפט המחוזי בירושלים בשבתו כבית-משפט לערעורים אזרחיים</CourtDisplayName>
    <IsCaseJudgePanel>false</IsCaseJudgePanel>
    <DecisionSignatureDate>2024-07-04T12:48:53.1920845+03:00</DecisionSignatureDate>
    <OpenCaseDate>2024-01-24T12:25:00+02:00</OpenCaseDate>
    <CaseFeeSum>0.000</CaseFeeSum>
    <DecisionTypeID>2</DecisionTypeID>
    <DecisionSignatureUserName>עודד שחם</DecisionSignatureUserName>
    <DecisionSignatureDateHebrew>2024-07-04T12:48:53.1920845+03:00</DecisionSignatureDateHebrew>
    <DecisionWriterID>058893793@GOV.IL</DecisionWriterID>
    <CourtAddress>רח' יפו 97, בניין כלל, קומה 13, ירושלים -1</CourtAddress>
    <IsAutoTextInCaseExist>false</IsAutoTextInCaseExist>
    <DecisionSignatureRoleName>שופט</DecisionSignatureRoleName>
    <DecisionSignatureUserTitleName>שופט</DecisionSignatureUserTitleName>
    <CaseName>פלוני נ' מדינת ישראל</CaseName>
    <DecisionNumberInCase>11</DecisionNumberInCase>
  </dt_Decision>
  <dt_DecisionCase>
    <DecisionID>0</DecisionID>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266679978</CasePartyID>
        <PartyTypeID>2</PartyTypeID>
        <ActivityStatusID>1</ActivityStatusID>
        <PartyAliasID>23</PartyAliasID>
        <PartyAliasName>בא כוח משיבים</PartyAliasName>
        <LegalEntityID>379600</LegalEntityID>
        <CaseLegalEntityID>127863157</CaseLegalEntityID>
        <AuthenticationTypeID>4</AuthenticationTypeID>
        <AuthenticationTypeName>מ.ר.</AuthenticationTypeName>
        <LegalEntityNumber>14771</LegalEntityNumber>
        <IsMainPartyType>true</IsMainPartyType>
        <CaseDisplayIdentifier>57708-01-24</CaseDisplayIdentifier>
        <CaseTypeID>10001</CaseTypeID>
        <CaseTypeName>ערעור אזרחי (ע"א)</CaseTypeName>
        <CaseName>עות'מאן נ' מדינת ישראל</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עהד עות'מאן</FullName>
        <FirstName>עהד</FirstName>
        <LastName>עתמאן</LastName>
        <PartyPropertyName/>
        <AuthenticationTypeAndNumber>תושבי איו"ש 860045426</AuthenticationTypeAndNumber>
        <RepresentatedOrRepresentativesNames>אבראהים אגבאריה</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265441045</CasePartyID>
        <PartyTypeID>1</PartyTypeID>
        <ActivityStatusID>1</ActivityStatusID>
        <PartyAliasID>5</PartyAliasID>
        <PartyAliasName>מערער</PartyAliasName>
        <OrdinalNumber>1</OrdinalNumber>
        <LegalEntityID>76673954</LegalEntityID>
        <CaseLegalEntityID>127503065</CaseLegalEntityID>
        <AuthenticationTypeID>36</AuthenticationTypeID>
        <AuthenticationTypeName>תושבי איו"ש</AuthenticationTypeName>
        <LegalEntityNumber>860045426</LegalEntityNumber>
        <IsMainPartyType>true</IsMainPartyType>
        <CaseDisplayIdentifier>57708-01-24</CaseDisplayIdentifier>
        <CaseTypeID>10001</CaseTypeID>
        <CaseTypeName>ערעור אזרחי (ע"א)</CaseTypeName>
        <CaseName>עות'מאן נ' מדינת ישראל</CaseName>
        <FullAddress/>
        <MotionID>0</MotionID>
        <CasePleaID>0</CasePleaID>
        <FatherName>אכרם</FatherName>
        <LinkedCaseID>0</LinkedCaseID>
        <PartyID>1</PartyID>
        <CasePartyCategoryID>2</CasePartyCategoryID>
        <PleaTypeID>6</PleaTypeID>
        <GroupPartyAlias>מערערים</GroupPartyAlias>
        <IsConverted>false</IsConverted>
        <LegalEntityRegisteredNameID>10631968</LegalEntityRegisteredNameID>
        <LegalEntityNameID>96050794</LegalEntityNameID>
        <RepresentatedNamesOfAssistant/>
        <LegalEntityTypeID>9</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אבראהים אגבאריה</FullName>
        <FirstName>אבראהים</FirstName>
        <LastName>אגבאריה</LastName>
        <PartyPropertyName/>
        <AuthenticationTypeAndNumber>מ.ר. 56143</AuthenticationTypeAndNumber>
        <RepresentatedOrRepresentativesNames>עהד עות'מאן</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265441047</CasePartyID>
        <PartyTypeID>2</PartyTypeID>
        <ActivityStatusID>1</ActivityStatusID>
        <PartyAliasID>24</PartyAliasID>
        <PartyAliasName>בא כוח מערערים</PartyAliasName>
        <OrdinalNumber>1</OrdinalNumber>
        <LegalEntityID>70256778</LegalEntityID>
        <CaseLegalEntityID>127503067</CaseLegalEntityID>
        <AuthenticationTypeID>4</AuthenticationTypeID>
        <AuthenticationTypeName>מ.ר.</AuthenticationTypeName>
        <LegalEntityNumber>56143</LegalEntityNumber>
        <IsMainPartyType>true</IsMainPartyType>
        <CaseDisplayIdentifier>57708-01-24</CaseDisplayIdentifier>
        <CaseTypeID>10001</CaseTypeID>
        <CaseTypeName>ערעור אזרחי (ע"א)</CaseTypeName>
        <CaseName>עות'מאן נ' מדינת ישראל</CaseName>
        <FullAddress>מוסמוס-מעלה עירון מוסמוס ת.ד 500</FullAddress>
        <EmailAddress>ibragbaria@walla.com</EmailAddress>
        <MotionID>0</MotionID>
        <CasePleaID>0</CasePleaID>
        <LinkedCaseID>0</LinkedCaseID>
        <PartyID>1</PartyID>
        <CasePartyCategoryID>2</CasePartyCategoryID>
        <LegalEntityAddressID>76420738</LegalEntityAddressID>
        <LegalEntityEmailAddressID>67944902</LegalEntityEmailAddressID>
        <PleaTypeID>6</PleaTypeID>
        <LawyerOfficeName>משרד עו"ד אבראהים אגבאריה</LawyerOfficeName>
        <LawyerOfficeID>70256779</LawyerOfficeID>
        <GroupPartyAlias/>
        <IsConverted>false</IsConverted>
        <LegalEntityNameID>72730283</LegalEntityNameID>
        <RepresentatedNamesOfAssistant/>
        <LegalEntityTypeID>4</LegalEntityTypeID>
        <IsVerdictExists>false</IsVerdictExists>
        <IsAsirAzir>false</IsAsirAzir>
        <MainAndSecSpec/>
        <IsPublicationProhibited>false</IsPublicationProhibited>
        <PublicationProhibitedFullName>אבראהים אגבאריה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80937225</CaseID>
        <CaseJudicialPersonPresentationDS>
          <CaseJudicalPersonActive>
            <CaseID>80937225</CaseID>
            <JudicialPersonID>058893793@GOV.IL</JudicialPersonID>
            <JudicialPersonTypeID>1</JudicialPersonTypeID>
            <JudicialTypeID>3</JudicialTypeID>
            <IsChairman>true</IsChairman>
            <TreatmentStartDate>2024-06-25T09:56:23.56+03:00</TreatmentStartDate>
            <TreatmentFinishDate>9999-12-31T23:59:59.997+02:00</TreatmentFinishDate>
            <IdentificationCardNumber>058893793</IdentificationCardNumber>
            <DisplayName>עודד שחם</DisplayName>
            <JudicialTypeName>הרכב שופטים</JudicialTypeName>
            <CaseJudicialGroupNumber>584410</CaseJudicialGroupNumber>
            <FirstName>עודד</FirstName>
            <LastName>שחם</LastName>
            <JudicialPersonTitle>שופט</JudicialPersonTitle>
          </CaseJudicalPersonActive>
          <CaseJudicalPersonActive>
            <CaseID>80937225</CaseID>
            <JudicialPersonID>058667486@GOV.IL</JudicialPersonID>
            <JudicialPersonTypeID>1</JudicialPersonTypeID>
            <JudicialTypeID>3</JudicialTypeID>
            <IsChairman>false</IsChairman>
            <TreatmentStartDate>2024-06-25T09:56:23.56+03:00</TreatmentStartDate>
            <TreatmentFinishDate>9999-12-31T23:59:59.997+02:00</TreatmentFinishDate>
            <IdentificationCardNumber>058667486</IdentificationCardNumber>
            <DisplayName>אברהם רובין</DisplayName>
            <JudicialTypeName>הרכב שופטים</JudicialTypeName>
            <CaseJudicialGroupNumber>584410</CaseJudicialGroupNumber>
            <FirstName>אברהם</FirstName>
            <LastName>רובין</LastName>
            <JudicialPersonTitle>שופט</JudicialPersonTitle>
          </CaseJudicalPersonActive>
          <CaseJudicalPersonActive>
            <CaseID>80937225</CaseID>
            <JudicialPersonID>027838697@GOV.IL</JudicialPersonID>
            <JudicialPersonTypeID>1</JudicialPersonTypeID>
            <JudicialTypeID>3</JudicialTypeID>
            <IsChairman>false</IsChairman>
            <TreatmentStartDate>2024-06-25T09:56:23.56+03:00</TreatmentStartDate>
            <TreatmentFinishDate>9999-12-31T23:59:59.997+02:00</TreatmentFinishDate>
            <IdentificationCardNumber>027838697</IdentificationCardNumber>
            <DisplayName>נמרוד פלקס</DisplayName>
            <JudicialTypeName>הרכב שופטים</JudicialTypeName>
            <CaseJudicialGroupNumber>584410</CaseJudicialGroupNumber>
            <FirstName>נמרוד</FirstName>
            <LastName>פלקס</LastName>
            <JudicialPersonTitle>שופט</JudicialPersonTitle>
          </CaseJudicalPersonActive>
        </CaseJudicialPersonPresentationDS>
        <CasePartyID>265441046</CasePartyID>
        <PartyTypeID>1</PartyTypeID>
        <ActivityStatusID>1</ActivityStatusID>
        <PartyAliasID>4</PartyAliasID>
        <PartyAliasName>משיב</PartyAliasName>
        <OrdinalNumber>1</OrdinalNumber>
        <LegalEntityID>4</LegalEntityID>
        <CaseLegalEntityID>127503066</CaseLegalEntityID>
        <AuthenticationTypeID>41</AuthenticationTypeID>
        <AuthenticationTypeName>מדינת ישראל </AuthenticationTypeName>
        <LegalEntityNumber/>
        <IsMainPartyType>true</IsMainPartyType>
        <CaseDisplayIdentifier>57708-01-24</CaseDisplayIdentifier>
        <CaseTypeID>10001</CaseTypeID>
        <CaseTypeName>ערעור אזרחי (ע"א)</CaseTypeName>
        <CaseName>עות'מאן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CaseName>עות'מאן נ' מדינת ישראל</CaseName>
    <CaseDisplayIdentifier>57708-01-24</CaseDisplayIdentifier>
    <CaseInterestID>10432</CaseInterestID>
    <CaseTypeShortName>ע"א</CaseTypeShortName>
  </dt_DecisionCase>
  <dt_DecisionJudgePanel>
    <JudgeID>058893793@GOV.IL</JudgeID>
    <DisplayName>עודד שחם</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IsPublicationProhibited>true</IsPublicationProhibited>
  </dt_LegalEntityDetails>
  <dt_LegalEntityDetails>
    <PartyID>2</PartyID>
    <PartyTypeID>1</PartyTypeID>
    <DecisionID>0</DecisionID>
    <IsPublicationProhibited>false</IsPublicationProhibited>
  </dt_LegalEntityDetails>
  <dt_LegalEntityDetails>
    <Fax>04-6897390</Fax>
    <Phone>04-6319453</Phone>
    <AddressDesc>ת.ד 500</AddressDesc>
    <PartyID>1</PartyID>
    <PartyTypeID>2</PartyTypeID>
    <DecisionID>0</DecisionID>
    <StreetName>מוסמוס-מעלה עירון</StreetName>
    <ZipCode>30920</ZipCode>
    <CityName>מוסמוס</CityName>
    <FullName>אבראהים אגבאריה</FullName>
    <Email>ibragbaria@walla.com</Email>
    <IsPublicationProhibited>false</IsPublicationProhibited>
  </dt_LegalEntityDetails>
  <dt_CaseJudicalPersonActive>
    <CaseJudicalPerson>שופט עודד שחם, שופט אברהם רובין, שופט נמרוד פלקס</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8F32B-546B-42E3-8EBA-E848CA8EC2A1}">
  <ds:schemaRefs/>
</ds:datastoreItem>
</file>

<file path=customXml/itemProps2.xml><?xml version="1.0" encoding="utf-8"?>
<ds:datastoreItem xmlns:ds="http://schemas.openxmlformats.org/officeDocument/2006/customXml" ds:itemID="{89245F05-C063-4EE8-A379-3331915BB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1877</Words>
  <Characters>9386</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2024-09-03T06:12:00Z</dcterms:created>
  <dcterms:modified xsi:type="dcterms:W3CDTF">2024-09-03T06:12:00Z</dcterms:modified>
</cp:coreProperties>
</file>